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8AAD" w14:textId="77777777" w:rsidR="00342823" w:rsidRPr="00342823" w:rsidRDefault="00342823" w:rsidP="00342823">
      <w:pPr>
        <w:pStyle w:val="Overskrift2"/>
        <w:spacing w:after="0" w:line="360" w:lineRule="auto"/>
        <w:rPr>
          <w:color w:val="C00000"/>
          <w:sz w:val="36"/>
          <w:szCs w:val="24"/>
          <w:lang w:val="da-DK"/>
        </w:rPr>
      </w:pPr>
      <w:bookmarkStart w:id="0" w:name="_Toc125442449"/>
      <w:r w:rsidRPr="00342823">
        <w:rPr>
          <w:color w:val="C00000"/>
          <w:sz w:val="36"/>
          <w:szCs w:val="24"/>
          <w:lang w:val="da-DK"/>
        </w:rPr>
        <w:t>Forløb og tjekskema</w:t>
      </w:r>
      <w:bookmarkEnd w:id="0"/>
    </w:p>
    <w:p w14:paraId="32AFF367" w14:textId="77777777" w:rsidR="00342823" w:rsidRPr="006C4660" w:rsidRDefault="00342823" w:rsidP="00342823">
      <w:pPr>
        <w:shd w:val="clear" w:color="auto" w:fill="FFFFFF"/>
        <w:spacing w:after="0" w:line="360" w:lineRule="auto"/>
        <w:rPr>
          <w:color w:val="555555"/>
          <w:sz w:val="24"/>
          <w:szCs w:val="24"/>
          <w:lang w:val="da-DK"/>
        </w:rPr>
      </w:pPr>
      <w:r w:rsidRPr="006C4660">
        <w:rPr>
          <w:color w:val="555555"/>
          <w:sz w:val="24"/>
          <w:szCs w:val="24"/>
          <w:lang w:val="da-DK"/>
        </w:rPr>
        <w:t>Her dykker vi lidt længere ned i hvilke aktiviteter I kommer med i. Når overgangen nærmer sig (</w:t>
      </w:r>
      <w:r>
        <w:rPr>
          <w:color w:val="555555"/>
          <w:sz w:val="24"/>
          <w:szCs w:val="24"/>
          <w:lang w:val="da-DK"/>
        </w:rPr>
        <w:t>ca. 1 mdr. før opstart</w:t>
      </w:r>
      <w:r w:rsidRPr="006C4660">
        <w:rPr>
          <w:color w:val="555555"/>
          <w:sz w:val="24"/>
          <w:szCs w:val="24"/>
          <w:lang w:val="da-DK"/>
        </w:rPr>
        <w:t>) modtager I en detail plan (køreplan) med datoer for netop jeres opstart. Aktivite</w:t>
      </w:r>
      <w:r>
        <w:rPr>
          <w:color w:val="555555"/>
          <w:sz w:val="24"/>
          <w:szCs w:val="24"/>
          <w:lang w:val="da-DK"/>
        </w:rPr>
        <w:t>te</w:t>
      </w:r>
      <w:r w:rsidRPr="006C4660">
        <w:rPr>
          <w:color w:val="555555"/>
          <w:sz w:val="24"/>
          <w:szCs w:val="24"/>
          <w:lang w:val="da-DK"/>
        </w:rPr>
        <w:t>rne ser således ud, nogle kommer tidligere end køreplanen fra os:</w:t>
      </w:r>
    </w:p>
    <w:p w14:paraId="2319871E" w14:textId="77777777" w:rsidR="00342823" w:rsidRPr="00342823" w:rsidRDefault="00342823" w:rsidP="00342823">
      <w:pPr>
        <w:pStyle w:val="Overskrift3"/>
        <w:rPr>
          <w:color w:val="C00000"/>
          <w:sz w:val="26"/>
          <w:szCs w:val="26"/>
          <w:lang w:val="da-DK"/>
        </w:rPr>
      </w:pPr>
      <w:bookmarkStart w:id="1" w:name="_Toc125442450"/>
      <w:r w:rsidRPr="00342823">
        <w:rPr>
          <w:rStyle w:val="Strk"/>
          <w:color w:val="C00000"/>
          <w:sz w:val="26"/>
          <w:szCs w:val="26"/>
          <w:lang w:val="da-DK"/>
        </w:rPr>
        <w:t>Aktiviteter i overgangen – tjekskema</w:t>
      </w:r>
      <w:bookmarkEnd w:id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342823" w:rsidRPr="006C4660" w14:paraId="6A686426" w14:textId="77777777" w:rsidTr="00BA07C2">
        <w:tc>
          <w:tcPr>
            <w:tcW w:w="846" w:type="dxa"/>
          </w:tcPr>
          <w:p w14:paraId="2561556E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22171409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ODBC-adgang til jeres data - ODBC-adgang bestilles og accepteres hos Keyloop (det er </w:t>
            </w:r>
            <w:proofErr w:type="spellStart"/>
            <w:proofErr w:type="gramStart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ultra</w:t>
            </w:r>
            <w:proofErr w:type="spellEnd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vigtigt</w:t>
            </w:r>
            <w:proofErr w:type="gramEnd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, at dette gennemføres, ellers kan vi ikke tage jeres data over)</w:t>
            </w:r>
          </w:p>
        </w:tc>
      </w:tr>
      <w:tr w:rsidR="00342823" w:rsidRPr="006C4660" w14:paraId="40EE2BD9" w14:textId="77777777" w:rsidTr="00BA07C2">
        <w:tc>
          <w:tcPr>
            <w:tcW w:w="846" w:type="dxa"/>
          </w:tcPr>
          <w:p w14:paraId="41D6FF90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70171785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Besøg af KAM der laver kontrakt og tilsikrer samme moduler som I har </w:t>
            </w:r>
            <w:proofErr w:type="spellStart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idag</w:t>
            </w:r>
            <w:proofErr w:type="spellEnd"/>
          </w:p>
        </w:tc>
      </w:tr>
      <w:tr w:rsidR="00342823" w:rsidRPr="006C4660" w14:paraId="6D1DECCA" w14:textId="77777777" w:rsidTr="00BA07C2">
        <w:tc>
          <w:tcPr>
            <w:tcW w:w="846" w:type="dxa"/>
          </w:tcPr>
          <w:p w14:paraId="0C14F848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1B858A78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DealerBridge - ny aftale skal laves med Keyloop (</w:t>
            </w:r>
            <w:r w:rsidRPr="006C4660">
              <w:rPr>
                <w:rFonts w:asciiTheme="minorHAnsi" w:hAnsiTheme="minorHAnsi"/>
                <w:i/>
                <w:iCs/>
                <w:color w:val="555555"/>
                <w:sz w:val="21"/>
                <w:szCs w:val="21"/>
              </w:rPr>
              <w:t xml:space="preserve">den eksisterende opsiges - datoer koordineres med </w:t>
            </w:r>
            <w:proofErr w:type="spellStart"/>
            <w:r w:rsidRPr="006C4660">
              <w:rPr>
                <w:rFonts w:asciiTheme="minorHAnsi" w:hAnsiTheme="minorHAnsi"/>
                <w:i/>
                <w:iCs/>
                <w:color w:val="555555"/>
                <w:sz w:val="21"/>
                <w:szCs w:val="21"/>
              </w:rPr>
              <w:t>CarLogistic</w:t>
            </w:r>
            <w:proofErr w:type="spellEnd"/>
            <w:r w:rsidRPr="006C4660">
              <w:rPr>
                <w:rFonts w:asciiTheme="minorHAnsi" w:hAnsiTheme="minorHAnsi"/>
                <w:i/>
                <w:iCs/>
                <w:color w:val="555555"/>
                <w:sz w:val="21"/>
                <w:szCs w:val="21"/>
              </w:rPr>
              <w:t>)</w:t>
            </w:r>
          </w:p>
        </w:tc>
      </w:tr>
      <w:tr w:rsidR="00342823" w:rsidRPr="006C4660" w14:paraId="313A4BFA" w14:textId="77777777" w:rsidTr="00BA07C2">
        <w:tc>
          <w:tcPr>
            <w:tcW w:w="846" w:type="dxa"/>
          </w:tcPr>
          <w:p w14:paraId="3012015D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3DCB098D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Første udtræk af data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(er hul igennem?)</w:t>
            </w:r>
          </w:p>
        </w:tc>
      </w:tr>
      <w:tr w:rsidR="00342823" w:rsidRPr="006C4660" w14:paraId="67F2CC26" w14:textId="77777777" w:rsidTr="00BA07C2">
        <w:tc>
          <w:tcPr>
            <w:tcW w:w="846" w:type="dxa"/>
          </w:tcPr>
          <w:p w14:paraId="248182EC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17886E0E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Tekniker besøg fra Carlogistic</w:t>
            </w:r>
          </w:p>
        </w:tc>
      </w:tr>
      <w:tr w:rsidR="00342823" w:rsidRPr="006C4660" w14:paraId="48C3A25E" w14:textId="77777777" w:rsidTr="00BA07C2">
        <w:tc>
          <w:tcPr>
            <w:tcW w:w="846" w:type="dxa"/>
          </w:tcPr>
          <w:p w14:paraId="688ECF6E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49B891F1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Kundeskemaer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- del 1 -</w:t>
            </w: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fremsendes fra Carlogistic</w:t>
            </w:r>
          </w:p>
        </w:tc>
      </w:tr>
      <w:tr w:rsidR="00342823" w:rsidRPr="006C4660" w14:paraId="6FCD1C13" w14:textId="77777777" w:rsidTr="00BA07C2">
        <w:tc>
          <w:tcPr>
            <w:tcW w:w="846" w:type="dxa"/>
          </w:tcPr>
          <w:p w14:paraId="1438C57F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60FD4857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Udtræk af prøvedata inkl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>.</w:t>
            </w: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afstemningslister (test data)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– </w:t>
            </w:r>
            <w:r w:rsidRPr="00D9740B">
              <w:rPr>
                <w:rFonts w:asciiTheme="minorHAnsi" w:hAnsiTheme="minorHAnsi"/>
                <w:color w:val="555555"/>
                <w:sz w:val="21"/>
                <w:szCs w:val="21"/>
                <w:u w:val="single"/>
              </w:rPr>
              <w:t>Kunden skal deltage</w:t>
            </w:r>
          </w:p>
        </w:tc>
      </w:tr>
      <w:tr w:rsidR="00342823" w:rsidRPr="006C4660" w14:paraId="594311D7" w14:textId="77777777" w:rsidTr="00BA07C2">
        <w:tc>
          <w:tcPr>
            <w:tcW w:w="846" w:type="dxa"/>
          </w:tcPr>
          <w:p w14:paraId="2ABB0961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6463871B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Kundeskemaer – del 2 – fremsendes </w:t>
            </w: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fra Carlogistic </w:t>
            </w:r>
          </w:p>
        </w:tc>
      </w:tr>
      <w:tr w:rsidR="00342823" w:rsidRPr="006C4660" w14:paraId="365E68AB" w14:textId="77777777" w:rsidTr="00BA07C2">
        <w:tc>
          <w:tcPr>
            <w:tcW w:w="846" w:type="dxa"/>
          </w:tcPr>
          <w:p w14:paraId="7D1048AF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74C14AC5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Køreplan med datoer</w:t>
            </w:r>
          </w:p>
        </w:tc>
      </w:tr>
      <w:tr w:rsidR="00342823" w:rsidRPr="006C4660" w14:paraId="005056C7" w14:textId="77777777" w:rsidTr="00BA07C2">
        <w:tc>
          <w:tcPr>
            <w:tcW w:w="846" w:type="dxa"/>
          </w:tcPr>
          <w:p w14:paraId="5EE240C2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28DB4E1C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proofErr w:type="spellStart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CarLogistic</w:t>
            </w:r>
            <w:proofErr w:type="spellEnd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foretager </w:t>
            </w:r>
            <w:proofErr w:type="gramStart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fornødne</w:t>
            </w:r>
            <w:proofErr w:type="gramEnd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opsætninger og er i løbende dialog med forretningen</w:t>
            </w:r>
          </w:p>
        </w:tc>
      </w:tr>
      <w:tr w:rsidR="00342823" w:rsidRPr="006C4660" w14:paraId="22138DA2" w14:textId="77777777" w:rsidTr="00BA07C2">
        <w:tc>
          <w:tcPr>
            <w:tcW w:w="846" w:type="dxa"/>
          </w:tcPr>
          <w:p w14:paraId="251DB22A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7F48ACA1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Kursus for bogholderi (+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evt. </w:t>
            </w: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salg) samt 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>eftermarked</w:t>
            </w:r>
          </w:p>
        </w:tc>
      </w:tr>
      <w:tr w:rsidR="00342823" w:rsidRPr="006C4660" w14:paraId="0A7E6E16" w14:textId="77777777" w:rsidTr="00BA07C2">
        <w:tc>
          <w:tcPr>
            <w:tcW w:w="846" w:type="dxa"/>
          </w:tcPr>
          <w:p w14:paraId="632D3E1D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59B4DC90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Afslutning i Dracar</w:t>
            </w:r>
          </w:p>
        </w:tc>
      </w:tr>
      <w:tr w:rsidR="00342823" w:rsidRPr="006C4660" w14:paraId="5083CC4C" w14:textId="77777777" w:rsidTr="00BA07C2">
        <w:tc>
          <w:tcPr>
            <w:tcW w:w="846" w:type="dxa"/>
          </w:tcPr>
          <w:p w14:paraId="2F51F971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76DB2769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Udtræk af endelige data + Lister i </w:t>
            </w:r>
            <w:proofErr w:type="spellStart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frb</w:t>
            </w:r>
            <w:proofErr w:type="spellEnd"/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. med endeligt udtræk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</w:t>
            </w:r>
          </w:p>
        </w:tc>
      </w:tr>
      <w:tr w:rsidR="00342823" w:rsidRPr="006C4660" w14:paraId="05C90313" w14:textId="77777777" w:rsidTr="00BA07C2">
        <w:tc>
          <w:tcPr>
            <w:tcW w:w="846" w:type="dxa"/>
          </w:tcPr>
          <w:p w14:paraId="6B4161D7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465353F7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Efter udtræk af endelige data må Dracar </w:t>
            </w: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ikke rør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>e</w:t>
            </w: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s - kun opslag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>/tilbud er tilladt</w:t>
            </w:r>
          </w:p>
        </w:tc>
      </w:tr>
      <w:tr w:rsidR="00342823" w:rsidRPr="006C4660" w14:paraId="590C1E65" w14:textId="77777777" w:rsidTr="00BA07C2">
        <w:tc>
          <w:tcPr>
            <w:tcW w:w="846" w:type="dxa"/>
          </w:tcPr>
          <w:p w14:paraId="0B87A94D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6E76A7B1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Konvertering af data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– Carlogistic</w:t>
            </w:r>
          </w:p>
        </w:tc>
      </w:tr>
      <w:tr w:rsidR="00342823" w:rsidRPr="006C4660" w14:paraId="2A66176A" w14:textId="77777777" w:rsidTr="00BA07C2">
        <w:tc>
          <w:tcPr>
            <w:tcW w:w="846" w:type="dxa"/>
          </w:tcPr>
          <w:p w14:paraId="40F6F483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5D0F2E0A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 w:rsidRPr="006C4660">
              <w:rPr>
                <w:rFonts w:asciiTheme="minorHAnsi" w:hAnsiTheme="minorHAnsi"/>
                <w:color w:val="555555"/>
                <w:sz w:val="21"/>
                <w:szCs w:val="21"/>
              </w:rPr>
              <w:t>Opstart i forretningen</w:t>
            </w:r>
            <w:r>
              <w:rPr>
                <w:rFonts w:asciiTheme="minorHAnsi" w:hAnsiTheme="minorHAnsi"/>
                <w:color w:val="555555"/>
                <w:sz w:val="21"/>
                <w:szCs w:val="21"/>
              </w:rPr>
              <w:t xml:space="preserve"> – hos kunden</w:t>
            </w:r>
          </w:p>
        </w:tc>
      </w:tr>
      <w:tr w:rsidR="00342823" w:rsidRPr="006C4660" w14:paraId="30964675" w14:textId="77777777" w:rsidTr="00342823">
        <w:trPr>
          <w:trHeight w:val="1084"/>
        </w:trPr>
        <w:tc>
          <w:tcPr>
            <w:tcW w:w="846" w:type="dxa"/>
          </w:tcPr>
          <w:p w14:paraId="299D18EC" w14:textId="77777777" w:rsidR="00342823" w:rsidRPr="006C4660" w:rsidRDefault="00342823" w:rsidP="00BA07C2">
            <w:pPr>
              <w:pStyle w:val="NormalWeb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</w:rPr>
            </w:pPr>
          </w:p>
        </w:tc>
        <w:tc>
          <w:tcPr>
            <w:tcW w:w="8782" w:type="dxa"/>
          </w:tcPr>
          <w:p w14:paraId="0AD1E04B" w14:textId="77777777" w:rsidR="00342823" w:rsidRPr="006C4660" w:rsidRDefault="00342823" w:rsidP="00BA07C2">
            <w:pPr>
              <w:pStyle w:val="NormalWeb"/>
              <w:shd w:val="clear" w:color="auto" w:fill="FFFFFF"/>
              <w:spacing w:before="150" w:beforeAutospacing="0" w:after="0" w:afterAutospacing="0" w:line="360" w:lineRule="auto"/>
              <w:rPr>
                <w:rFonts w:asciiTheme="minorHAnsi" w:hAnsiTheme="minorHAnsi"/>
                <w:color w:val="555555"/>
                <w:sz w:val="21"/>
                <w:szCs w:val="21"/>
              </w:rPr>
            </w:pPr>
            <w:r>
              <w:rPr>
                <w:rFonts w:asciiTheme="minorHAnsi" w:hAnsiTheme="minorHAnsi"/>
                <w:color w:val="555555"/>
                <w:sz w:val="21"/>
                <w:szCs w:val="21"/>
              </w:rPr>
              <w:t>Genbesøg efter 1-3 ugers drift på AutoVision</w:t>
            </w:r>
          </w:p>
        </w:tc>
      </w:tr>
    </w:tbl>
    <w:p w14:paraId="0ADB0573" w14:textId="77777777" w:rsidR="00342823" w:rsidRDefault="00342823" w:rsidP="00342823"/>
    <w:sectPr w:rsidR="00342823" w:rsidSect="00342823">
      <w:pgSz w:w="11906" w:h="1683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23"/>
    <w:rsid w:val="0034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6362F1"/>
  <w15:chartTrackingRefBased/>
  <w15:docId w15:val="{B311E8A9-F9C1-4619-9418-2DB89F9B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rsid w:val="00342823"/>
    <w:pPr>
      <w:spacing w:after="60" w:line="240" w:lineRule="exact"/>
    </w:pPr>
    <w:rPr>
      <w:color w:val="2E2D2C"/>
      <w:kern w:val="0"/>
      <w:sz w:val="16"/>
      <w:szCs w:val="16"/>
      <w:lang w:val="sv-SE"/>
      <w14:ligatures w14:val="none"/>
    </w:rPr>
  </w:style>
  <w:style w:type="paragraph" w:styleId="Overskrift2">
    <w:name w:val="heading 2"/>
    <w:basedOn w:val="Normal"/>
    <w:next w:val="Normal"/>
    <w:link w:val="Overskrift2Tegn"/>
    <w:qFormat/>
    <w:rsid w:val="00342823"/>
    <w:pPr>
      <w:keepNext/>
      <w:keepLines/>
      <w:spacing w:before="40" w:line="440" w:lineRule="exact"/>
      <w:outlineLvl w:val="1"/>
    </w:pPr>
    <w:rPr>
      <w:rFonts w:eastAsiaTheme="majorEastAsia" w:cstheme="majorBidi"/>
      <w:b/>
      <w:color w:val="555555"/>
      <w:sz w:val="40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342823"/>
    <w:pPr>
      <w:keepNext/>
      <w:keepLines/>
      <w:spacing w:before="240"/>
      <w:outlineLvl w:val="2"/>
    </w:pPr>
    <w:rPr>
      <w:rFonts w:eastAsia="Times New Roman"/>
      <w:b/>
      <w:bCs/>
      <w:color w:val="4472C4" w:themeColor="accent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342823"/>
    <w:rPr>
      <w:rFonts w:eastAsiaTheme="majorEastAsia" w:cstheme="majorBidi"/>
      <w:b/>
      <w:color w:val="555555"/>
      <w:kern w:val="0"/>
      <w:sz w:val="40"/>
      <w:szCs w:val="26"/>
      <w:lang w:val="sv-SE"/>
      <w14:ligatures w14:val="none"/>
    </w:rPr>
  </w:style>
  <w:style w:type="character" w:customStyle="1" w:styleId="Overskrift3Tegn">
    <w:name w:val="Overskrift 3 Tegn"/>
    <w:basedOn w:val="Standardskrifttypeiafsnit"/>
    <w:link w:val="Overskrift3"/>
    <w:rsid w:val="00342823"/>
    <w:rPr>
      <w:rFonts w:eastAsia="Times New Roman"/>
      <w:b/>
      <w:bCs/>
      <w:color w:val="4472C4" w:themeColor="accent1"/>
      <w:kern w:val="0"/>
      <w:sz w:val="20"/>
      <w:szCs w:val="16"/>
      <w:lang w:val="sv-SE"/>
      <w14:ligatures w14:val="none"/>
    </w:rPr>
  </w:style>
  <w:style w:type="paragraph" w:styleId="NormalWeb">
    <w:name w:val="Normal (Web)"/>
    <w:basedOn w:val="Normal"/>
    <w:uiPriority w:val="99"/>
    <w:unhideWhenUsed/>
    <w:rsid w:val="00342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342823"/>
    <w:rPr>
      <w:b/>
      <w:bCs/>
    </w:rPr>
  </w:style>
  <w:style w:type="table" w:styleId="Tabel-Gitter">
    <w:name w:val="Table Grid"/>
    <w:basedOn w:val="Tabel-Normal"/>
    <w:uiPriority w:val="39"/>
    <w:rsid w:val="00342823"/>
    <w:pPr>
      <w:spacing w:after="0" w:line="240" w:lineRule="auto"/>
    </w:pPr>
    <w:rPr>
      <w:color w:val="2E2D2C"/>
      <w:kern w:val="0"/>
      <w:sz w:val="16"/>
      <w:szCs w:val="16"/>
      <w:lang w:val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Carstensen</dc:creator>
  <cp:keywords/>
  <dc:description/>
  <cp:lastModifiedBy>Claus Carstensen</cp:lastModifiedBy>
  <cp:revision>1</cp:revision>
  <dcterms:created xsi:type="dcterms:W3CDTF">2023-04-05T13:30:00Z</dcterms:created>
  <dcterms:modified xsi:type="dcterms:W3CDTF">2023-04-05T13:31:00Z</dcterms:modified>
</cp:coreProperties>
</file>